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80" w:rsidRDefault="00642F80" w:rsidP="00976580"/>
    <w:p w:rsidR="00642F80" w:rsidRDefault="00642F80" w:rsidP="00976580"/>
    <w:p w:rsidR="00642F80" w:rsidRPr="00F83094" w:rsidRDefault="00D71271" w:rsidP="00642F8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94">
        <w:rPr>
          <w:rFonts w:ascii="Times New Roman" w:hAnsi="Times New Roman" w:cs="Times New Roman"/>
          <w:b/>
          <w:sz w:val="28"/>
          <w:szCs w:val="28"/>
        </w:rPr>
        <w:t>ÖSZTÖNDÍJ PÁLYÁZATI RENDSZER</w:t>
      </w:r>
    </w:p>
    <w:p w:rsidR="00976580" w:rsidRPr="00F83094" w:rsidRDefault="00976580" w:rsidP="00642F8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3094">
        <w:rPr>
          <w:rFonts w:ascii="Times New Roman" w:hAnsi="Times New Roman" w:cs="Times New Roman"/>
          <w:b/>
          <w:sz w:val="28"/>
          <w:szCs w:val="28"/>
        </w:rPr>
        <w:t>fogyaté</w:t>
      </w:r>
      <w:r w:rsidR="00905F6F" w:rsidRPr="00F83094">
        <w:rPr>
          <w:rFonts w:ascii="Times New Roman" w:hAnsi="Times New Roman" w:cs="Times New Roman"/>
          <w:b/>
          <w:sz w:val="28"/>
          <w:szCs w:val="28"/>
        </w:rPr>
        <w:t>kossággal</w:t>
      </w:r>
      <w:proofErr w:type="gramEnd"/>
      <w:r w:rsidR="00905F6F" w:rsidRPr="00F83094">
        <w:rPr>
          <w:rFonts w:ascii="Times New Roman" w:hAnsi="Times New Roman" w:cs="Times New Roman"/>
          <w:b/>
          <w:sz w:val="28"/>
          <w:szCs w:val="28"/>
        </w:rPr>
        <w:t xml:space="preserve"> vagy tanulási nehézséggel</w:t>
      </w:r>
      <w:r w:rsidRPr="00F83094">
        <w:rPr>
          <w:rFonts w:ascii="Times New Roman" w:hAnsi="Times New Roman" w:cs="Times New Roman"/>
          <w:b/>
          <w:sz w:val="28"/>
          <w:szCs w:val="28"/>
        </w:rPr>
        <w:t xml:space="preserve"> élő hallgatók számára</w:t>
      </w:r>
    </w:p>
    <w:p w:rsidR="00795DE5" w:rsidRDefault="00795DE5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80" w:rsidRPr="00642F80" w:rsidRDefault="00642F80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580" w:rsidRDefault="00642F80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Edutus Egyetem </w:t>
      </w:r>
      <w:r w:rsidRPr="00D71271">
        <w:rPr>
          <w:rFonts w:ascii="Times New Roman" w:hAnsi="Times New Roman" w:cs="Times New Roman"/>
          <w:i/>
          <w:sz w:val="24"/>
          <w:szCs w:val="24"/>
        </w:rPr>
        <w:t>Hallgatói Térítések és Juttatások Szabályzatának</w:t>
      </w:r>
      <w:r>
        <w:rPr>
          <w:rFonts w:ascii="Times New Roman" w:hAnsi="Times New Roman" w:cs="Times New Roman"/>
          <w:sz w:val="24"/>
          <w:szCs w:val="24"/>
        </w:rPr>
        <w:t xml:space="preserve"> 8.§-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14.§-a, valamint 16</w:t>
      </w:r>
      <w:r w:rsidR="00D71271">
        <w:rPr>
          <w:rFonts w:ascii="Times New Roman" w:hAnsi="Times New Roman" w:cs="Times New Roman"/>
          <w:sz w:val="24"/>
          <w:szCs w:val="24"/>
        </w:rPr>
        <w:t>. §-a szabályozza azokat az ösztöndíjakat és támogatásokat, amelyeket a fogyatékossággal élő hallgatók igénybe vehetnek.</w:t>
      </w:r>
    </w:p>
    <w:p w:rsidR="00D71271" w:rsidRDefault="00D71271" w:rsidP="00F830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ösztöndíj pályázati rendszer célja ennek kiegészítése egyrészt a fogyatékossággal, másrészt a tanulási zavarral élő hallgatók számára.</w:t>
      </w:r>
    </w:p>
    <w:p w:rsidR="00F83094" w:rsidRDefault="00F83094" w:rsidP="00F830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6F" w:rsidRDefault="00D71271" w:rsidP="00905F6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 pályázaton </w:t>
      </w:r>
      <w:r w:rsidRPr="00905F6F">
        <w:rPr>
          <w:rFonts w:ascii="Times New Roman" w:hAnsi="Times New Roman" w:cs="Times New Roman"/>
          <w:b/>
          <w:sz w:val="24"/>
          <w:szCs w:val="24"/>
        </w:rPr>
        <w:t>azok a hallgatók vehetnek rész</w:t>
      </w:r>
      <w:r w:rsidR="00905F6F" w:rsidRPr="00905F6F">
        <w:rPr>
          <w:rFonts w:ascii="Times New Roman" w:hAnsi="Times New Roman" w:cs="Times New Roman"/>
          <w:b/>
          <w:sz w:val="24"/>
          <w:szCs w:val="24"/>
        </w:rPr>
        <w:t>t</w:t>
      </w:r>
      <w:r w:rsidR="00905F6F" w:rsidRPr="00905F6F">
        <w:rPr>
          <w:rFonts w:ascii="Times New Roman" w:hAnsi="Times New Roman" w:cs="Times New Roman"/>
          <w:sz w:val="24"/>
          <w:szCs w:val="24"/>
        </w:rPr>
        <w:t>,</w:t>
      </w:r>
      <w:r w:rsidR="00905F6F">
        <w:rPr>
          <w:rFonts w:ascii="Times New Roman" w:hAnsi="Times New Roman" w:cs="Times New Roman"/>
          <w:sz w:val="24"/>
          <w:szCs w:val="24"/>
        </w:rPr>
        <w:t xml:space="preserve"> akik </w:t>
      </w:r>
      <w:r w:rsidR="005C650C">
        <w:rPr>
          <w:rFonts w:ascii="Times New Roman" w:hAnsi="Times New Roman" w:cs="Times New Roman"/>
          <w:sz w:val="24"/>
          <w:szCs w:val="24"/>
        </w:rPr>
        <w:t xml:space="preserve">szakértői véleménnyel </w:t>
      </w:r>
      <w:r w:rsidR="00905F6F">
        <w:rPr>
          <w:rFonts w:ascii="Times New Roman" w:hAnsi="Times New Roman" w:cs="Times New Roman"/>
          <w:sz w:val="24"/>
          <w:szCs w:val="24"/>
        </w:rPr>
        <w:t>igazolni tudják, hogy:</w:t>
      </w:r>
    </w:p>
    <w:p w:rsidR="00D71271" w:rsidRDefault="00905F6F" w:rsidP="00905F6F">
      <w:pPr>
        <w:pStyle w:val="Listaszerbekezds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6F">
        <w:rPr>
          <w:rFonts w:ascii="Times New Roman" w:hAnsi="Times New Roman" w:cs="Times New Roman"/>
          <w:sz w:val="24"/>
          <w:szCs w:val="24"/>
        </w:rPr>
        <w:t>a nemzeti felsőoktatásról szóló 2011. évi CCIV. törvény egyes rendelkezéseinek végrehajtásáról szóló 87</w:t>
      </w:r>
      <w:r>
        <w:rPr>
          <w:rFonts w:ascii="Times New Roman" w:hAnsi="Times New Roman" w:cs="Times New Roman"/>
          <w:sz w:val="24"/>
          <w:szCs w:val="24"/>
        </w:rPr>
        <w:t>/2015.(IV.9.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05F6F">
        <w:rPr>
          <w:rFonts w:ascii="Times New Roman" w:hAnsi="Times New Roman" w:cs="Times New Roman"/>
          <w:sz w:val="24"/>
          <w:szCs w:val="24"/>
        </w:rPr>
        <w:t>Korm.</w:t>
      </w:r>
      <w:proofErr w:type="gramEnd"/>
      <w:r w:rsidRPr="00905F6F">
        <w:rPr>
          <w:rFonts w:ascii="Times New Roman" w:hAnsi="Times New Roman" w:cs="Times New Roman"/>
          <w:sz w:val="24"/>
          <w:szCs w:val="24"/>
        </w:rPr>
        <w:t xml:space="preserve"> rendelet 62. § (2) – (5) bekezdése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5F6F">
        <w:rPr>
          <w:rFonts w:ascii="Times New Roman" w:hAnsi="Times New Roman" w:cs="Times New Roman"/>
          <w:sz w:val="24"/>
          <w:szCs w:val="24"/>
        </w:rPr>
        <w:t xml:space="preserve"> szerint </w:t>
      </w:r>
      <w:r w:rsidRPr="00F83094">
        <w:rPr>
          <w:rFonts w:ascii="Times New Roman" w:hAnsi="Times New Roman" w:cs="Times New Roman"/>
          <w:b/>
          <w:i/>
          <w:sz w:val="24"/>
          <w:szCs w:val="24"/>
        </w:rPr>
        <w:t>fogyatékkal élő</w:t>
      </w:r>
      <w:r>
        <w:rPr>
          <w:rFonts w:ascii="Times New Roman" w:hAnsi="Times New Roman" w:cs="Times New Roman"/>
          <w:sz w:val="24"/>
          <w:szCs w:val="24"/>
        </w:rPr>
        <w:t xml:space="preserve"> hallgatónak számítanak,</w:t>
      </w:r>
    </w:p>
    <w:p w:rsidR="00905F6F" w:rsidRDefault="00905F6F" w:rsidP="00F83094">
      <w:pPr>
        <w:pStyle w:val="Listaszerbekezds"/>
        <w:numPr>
          <w:ilvl w:val="0"/>
          <w:numId w:val="1"/>
        </w:numPr>
        <w:spacing w:after="0" w:line="312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rendelet 62. § (6</w:t>
      </w:r>
      <w:r w:rsidRPr="00905F6F">
        <w:rPr>
          <w:rFonts w:ascii="Times New Roman" w:hAnsi="Times New Roman" w:cs="Times New Roman"/>
          <w:sz w:val="24"/>
          <w:szCs w:val="24"/>
        </w:rPr>
        <w:t>) –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5F6F">
        <w:rPr>
          <w:rFonts w:ascii="Times New Roman" w:hAnsi="Times New Roman" w:cs="Times New Roman"/>
          <w:sz w:val="24"/>
          <w:szCs w:val="24"/>
        </w:rPr>
        <w:t>) bekezdése szerint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83094">
        <w:rPr>
          <w:rFonts w:ascii="Times New Roman" w:hAnsi="Times New Roman" w:cs="Times New Roman"/>
          <w:b/>
          <w:i/>
          <w:sz w:val="24"/>
          <w:szCs w:val="24"/>
        </w:rPr>
        <w:t>pszichés fejlődési zavarral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F83094">
        <w:rPr>
          <w:rFonts w:ascii="Times New Roman" w:hAnsi="Times New Roman" w:cs="Times New Roman"/>
          <w:b/>
          <w:i/>
          <w:sz w:val="24"/>
          <w:szCs w:val="24"/>
        </w:rPr>
        <w:t>egyéb tanulási nehézséggel</w:t>
      </w:r>
      <w:r>
        <w:rPr>
          <w:rFonts w:ascii="Times New Roman" w:hAnsi="Times New Roman" w:cs="Times New Roman"/>
          <w:sz w:val="24"/>
          <w:szCs w:val="24"/>
        </w:rPr>
        <w:t xml:space="preserve"> (pl. diszlexia, diszgráfia, stb.) élő hallgatónak számítanak.</w:t>
      </w:r>
    </w:p>
    <w:p w:rsidR="00F83094" w:rsidRPr="00905F6F" w:rsidRDefault="00F83094" w:rsidP="00F83094">
      <w:pPr>
        <w:pStyle w:val="Listaszerbekezds"/>
        <w:spacing w:after="0" w:line="312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650C" w:rsidRPr="00F83094" w:rsidRDefault="005C650C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 pályázat</w:t>
      </w:r>
      <w:r w:rsidR="00F83094">
        <w:rPr>
          <w:rFonts w:ascii="Times New Roman" w:hAnsi="Times New Roman" w:cs="Times New Roman"/>
          <w:sz w:val="24"/>
          <w:szCs w:val="24"/>
        </w:rPr>
        <w:t xml:space="preserve"> </w:t>
      </w:r>
      <w:r w:rsidR="00F83094">
        <w:rPr>
          <w:rFonts w:ascii="Times New Roman" w:hAnsi="Times New Roman" w:cs="Times New Roman"/>
          <w:b/>
          <w:sz w:val="24"/>
          <w:szCs w:val="24"/>
        </w:rPr>
        <w:t>benyújtásának feltétele</w:t>
      </w:r>
      <w:r w:rsidR="00F83094" w:rsidRPr="00F83094">
        <w:rPr>
          <w:rFonts w:ascii="Times New Roman" w:hAnsi="Times New Roman" w:cs="Times New Roman"/>
          <w:sz w:val="24"/>
          <w:szCs w:val="24"/>
        </w:rPr>
        <w:t>, hogy a hallgató:</w:t>
      </w:r>
    </w:p>
    <w:p w:rsidR="00F83094" w:rsidRDefault="00F83094" w:rsidP="00F83094">
      <w:pPr>
        <w:pStyle w:val="Listaszerbekezds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Edutus Egyetemen hallgatói jogviszonnyal rendelkezzen nappali vagy levelező munkarendben,</w:t>
      </w:r>
    </w:p>
    <w:p w:rsidR="00F83094" w:rsidRDefault="00F83094" w:rsidP="00F83094">
      <w:pPr>
        <w:pStyle w:val="Listaszerbekezds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rendelkezzen legalább egy lezárt tanulmányi félévvel.</w:t>
      </w:r>
    </w:p>
    <w:p w:rsidR="00795DE5" w:rsidRDefault="00795DE5" w:rsidP="00795DE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E5" w:rsidRDefault="00795DE5" w:rsidP="00795DE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 pályázat </w:t>
      </w:r>
      <w:r w:rsidRPr="00795DE5">
        <w:rPr>
          <w:rFonts w:ascii="Times New Roman" w:hAnsi="Times New Roman" w:cs="Times New Roman"/>
          <w:b/>
          <w:sz w:val="24"/>
          <w:szCs w:val="24"/>
        </w:rPr>
        <w:t>elbírálása</w:t>
      </w:r>
      <w:r>
        <w:rPr>
          <w:rFonts w:ascii="Times New Roman" w:hAnsi="Times New Roman" w:cs="Times New Roman"/>
          <w:sz w:val="24"/>
          <w:szCs w:val="24"/>
        </w:rPr>
        <w:t xml:space="preserve"> az alábbiak figyelembe vételével történik:</w:t>
      </w:r>
    </w:p>
    <w:p w:rsidR="00795DE5" w:rsidRDefault="00795DE5" w:rsidP="00795DE5">
      <w:pPr>
        <w:pStyle w:val="Listaszerbekezds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</w:t>
      </w:r>
      <w:proofErr w:type="gramStart"/>
      <w:r>
        <w:rPr>
          <w:rFonts w:ascii="Times New Roman" w:hAnsi="Times New Roman" w:cs="Times New Roman"/>
          <w:sz w:val="24"/>
          <w:szCs w:val="24"/>
        </w:rPr>
        <w:t>korrigált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kreditindexe a pályázat benyújtását megelőző félévben,</w:t>
      </w:r>
    </w:p>
    <w:p w:rsidR="0026616F" w:rsidRDefault="00795DE5" w:rsidP="00795DE5">
      <w:pPr>
        <w:pStyle w:val="Listaszerbekezds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tudom</w:t>
      </w:r>
      <w:r w:rsidR="0026616F">
        <w:rPr>
          <w:rFonts w:ascii="Times New Roman" w:hAnsi="Times New Roman" w:cs="Times New Roman"/>
          <w:sz w:val="24"/>
          <w:szCs w:val="24"/>
        </w:rPr>
        <w:t>ányos munkában való részvétele az alábbiak szerint:</w:t>
      </w:r>
    </w:p>
    <w:p w:rsidR="0026616F" w:rsidRDefault="0026616F" w:rsidP="0026616F">
      <w:pPr>
        <w:pStyle w:val="Listaszerbekezds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OTDK-n való részvétel: 5 pont</w:t>
      </w:r>
    </w:p>
    <w:p w:rsidR="0026616F" w:rsidRDefault="0026616F" w:rsidP="0026616F">
      <w:pPr>
        <w:pStyle w:val="Listaszerbekezds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intézményi TDK-n való részvétel: 4 pont</w:t>
      </w:r>
    </w:p>
    <w:p w:rsidR="00795DE5" w:rsidRDefault="0026616F" w:rsidP="0026616F">
      <w:pPr>
        <w:pStyle w:val="Listaszerbekezds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szakkollégiumban való részvétel (TDK munka nélkül): 3 pont </w:t>
      </w:r>
    </w:p>
    <w:p w:rsidR="00795DE5" w:rsidRDefault="00795DE5" w:rsidP="00795DE5">
      <w:pPr>
        <w:pStyle w:val="Listaszerbekezds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közéleti te</w:t>
      </w:r>
      <w:r w:rsidR="0026616F">
        <w:rPr>
          <w:rFonts w:ascii="Times New Roman" w:hAnsi="Times New Roman" w:cs="Times New Roman"/>
          <w:sz w:val="24"/>
          <w:szCs w:val="24"/>
        </w:rPr>
        <w:t>vékenysége (HÖK által igazolva):</w:t>
      </w:r>
    </w:p>
    <w:p w:rsidR="0026616F" w:rsidRDefault="0026616F" w:rsidP="0026616F">
      <w:pPr>
        <w:pStyle w:val="Listaszerbekezds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közéleti szerepvállalás: 5 pont</w:t>
      </w:r>
    </w:p>
    <w:p w:rsidR="0026616F" w:rsidRDefault="0026616F" w:rsidP="0026616F">
      <w:pPr>
        <w:pStyle w:val="Listaszerbekezds"/>
        <w:numPr>
          <w:ilvl w:val="1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esetenkénti közéleti szerepvállalás: 3 pont</w:t>
      </w:r>
    </w:p>
    <w:p w:rsidR="0026616F" w:rsidRDefault="0026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16F" w:rsidRPr="0026616F" w:rsidRDefault="0026616F" w:rsidP="0026616F">
      <w:pPr>
        <w:spacing w:after="0"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616F" w:rsidRDefault="0026616F" w:rsidP="0026616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6616F">
        <w:rPr>
          <w:rFonts w:ascii="Times New Roman" w:hAnsi="Times New Roman" w:cs="Times New Roman"/>
          <w:b/>
          <w:sz w:val="24"/>
          <w:szCs w:val="24"/>
        </w:rPr>
        <w:t>bírálati szempontok súlyozása</w:t>
      </w:r>
      <w:r>
        <w:rPr>
          <w:rFonts w:ascii="Times New Roman" w:hAnsi="Times New Roman" w:cs="Times New Roman"/>
          <w:sz w:val="24"/>
          <w:szCs w:val="24"/>
        </w:rPr>
        <w:t xml:space="preserve"> a következő</w:t>
      </w:r>
      <w:r w:rsidRPr="002661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984"/>
      </w:tblGrid>
      <w:tr w:rsidR="0026616F" w:rsidTr="007E316A">
        <w:tc>
          <w:tcPr>
            <w:tcW w:w="3261" w:type="dxa"/>
            <w:shd w:val="clear" w:color="auto" w:fill="CCFF99"/>
          </w:tcPr>
          <w:p w:rsidR="0026616F" w:rsidRPr="0026616F" w:rsidRDefault="0026616F" w:rsidP="007E31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6F">
              <w:rPr>
                <w:rFonts w:ascii="Times New Roman" w:hAnsi="Times New Roman" w:cs="Times New Roman"/>
                <w:b/>
                <w:sz w:val="24"/>
                <w:szCs w:val="24"/>
              </w:rPr>
              <w:t>Szempont</w:t>
            </w:r>
          </w:p>
        </w:tc>
        <w:tc>
          <w:tcPr>
            <w:tcW w:w="1984" w:type="dxa"/>
            <w:shd w:val="clear" w:color="auto" w:fill="CCFF99"/>
          </w:tcPr>
          <w:p w:rsidR="0026616F" w:rsidRPr="0026616F" w:rsidRDefault="0026616F" w:rsidP="007E31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6F">
              <w:rPr>
                <w:rFonts w:ascii="Times New Roman" w:hAnsi="Times New Roman" w:cs="Times New Roman"/>
                <w:b/>
                <w:sz w:val="24"/>
                <w:szCs w:val="24"/>
              </w:rPr>
              <w:t>Súly</w:t>
            </w:r>
          </w:p>
        </w:tc>
      </w:tr>
      <w:tr w:rsidR="0026616F" w:rsidTr="007E316A">
        <w:tc>
          <w:tcPr>
            <w:tcW w:w="3261" w:type="dxa"/>
          </w:tcPr>
          <w:p w:rsidR="0026616F" w:rsidRDefault="0026616F" w:rsidP="007E31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korrigált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kreditindex</w:t>
            </w:r>
          </w:p>
        </w:tc>
        <w:tc>
          <w:tcPr>
            <w:tcW w:w="1984" w:type="dxa"/>
          </w:tcPr>
          <w:p w:rsidR="0026616F" w:rsidRDefault="0026616F" w:rsidP="007E31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6616F" w:rsidTr="007E316A">
        <w:tc>
          <w:tcPr>
            <w:tcW w:w="3261" w:type="dxa"/>
          </w:tcPr>
          <w:p w:rsidR="0026616F" w:rsidRDefault="0026616F" w:rsidP="007E31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tudományos tevékenység</w:t>
            </w:r>
          </w:p>
        </w:tc>
        <w:tc>
          <w:tcPr>
            <w:tcW w:w="1984" w:type="dxa"/>
          </w:tcPr>
          <w:p w:rsidR="0026616F" w:rsidRDefault="0026616F" w:rsidP="007E31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6616F" w:rsidTr="007E316A">
        <w:tc>
          <w:tcPr>
            <w:tcW w:w="3261" w:type="dxa"/>
          </w:tcPr>
          <w:p w:rsidR="0026616F" w:rsidRDefault="0026616F" w:rsidP="007E31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közéleti tevékenység</w:t>
            </w:r>
          </w:p>
        </w:tc>
        <w:tc>
          <w:tcPr>
            <w:tcW w:w="1984" w:type="dxa"/>
          </w:tcPr>
          <w:p w:rsidR="0026616F" w:rsidRDefault="0026616F" w:rsidP="007E31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976580" w:rsidRPr="00642F80" w:rsidRDefault="00976580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580" w:rsidRPr="00F83094" w:rsidRDefault="00F83094" w:rsidP="00A22E63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94">
        <w:rPr>
          <w:rFonts w:ascii="Times New Roman" w:hAnsi="Times New Roman" w:cs="Times New Roman"/>
          <w:b/>
          <w:sz w:val="24"/>
          <w:szCs w:val="24"/>
        </w:rPr>
        <w:t>Az ösztöndíj paraméterei: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6"/>
        <w:gridCol w:w="7566"/>
      </w:tblGrid>
      <w:tr w:rsidR="0026616F" w:rsidTr="0026616F">
        <w:tc>
          <w:tcPr>
            <w:tcW w:w="1413" w:type="dxa"/>
            <w:shd w:val="clear" w:color="auto" w:fill="CCFF99"/>
            <w:vAlign w:val="center"/>
          </w:tcPr>
          <w:p w:rsidR="0026616F" w:rsidRDefault="0026616F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6F">
              <w:rPr>
                <w:rFonts w:ascii="Times New Roman" w:hAnsi="Times New Roman" w:cs="Times New Roman"/>
                <w:sz w:val="24"/>
                <w:szCs w:val="24"/>
              </w:rPr>
              <w:t>Ösztöndíjban részesíthető 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lgatók </w:t>
            </w:r>
            <w:r w:rsidRPr="0026616F">
              <w:rPr>
                <w:rFonts w:ascii="Times New Roman" w:hAnsi="Times New Roman" w:cs="Times New Roman"/>
                <w:sz w:val="24"/>
                <w:szCs w:val="24"/>
              </w:rPr>
              <w:t>létszáma</w:t>
            </w:r>
          </w:p>
        </w:tc>
        <w:tc>
          <w:tcPr>
            <w:tcW w:w="7649" w:type="dxa"/>
            <w:vAlign w:val="center"/>
          </w:tcPr>
          <w:p w:rsidR="0026616F" w:rsidRDefault="0026616F" w:rsidP="007E316A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fogyatékosság esetén: maximum 3 fő/félév</w:t>
            </w:r>
          </w:p>
          <w:p w:rsidR="0026616F" w:rsidRPr="0026616F" w:rsidRDefault="0026616F" w:rsidP="007E316A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pszichés zavar és egyéb tanulási nehézség esetén: maximum 3 fő/félév</w:t>
            </w:r>
          </w:p>
        </w:tc>
      </w:tr>
      <w:tr w:rsidR="00F83094" w:rsidTr="00795DE5">
        <w:tc>
          <w:tcPr>
            <w:tcW w:w="1413" w:type="dxa"/>
            <w:shd w:val="clear" w:color="auto" w:fill="CCFF99"/>
            <w:vAlign w:val="center"/>
          </w:tcPr>
          <w:p w:rsidR="00F83094" w:rsidRDefault="00F83094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Összege</w:t>
            </w:r>
          </w:p>
        </w:tc>
        <w:tc>
          <w:tcPr>
            <w:tcW w:w="7649" w:type="dxa"/>
            <w:vAlign w:val="center"/>
          </w:tcPr>
          <w:p w:rsidR="00F83094" w:rsidRDefault="00F83094" w:rsidP="007E316A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fogyatékosság esetén: 25.000 Ft/hó</w:t>
            </w:r>
          </w:p>
          <w:p w:rsidR="00F83094" w:rsidRPr="00F83094" w:rsidRDefault="00F83094" w:rsidP="007E316A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pszichés fejlődési zavar és egyéb tanulási nehézség esetén: 20.000 Ft/hó</w:t>
            </w:r>
          </w:p>
        </w:tc>
      </w:tr>
      <w:tr w:rsidR="00F83094" w:rsidTr="00795DE5">
        <w:tc>
          <w:tcPr>
            <w:tcW w:w="1413" w:type="dxa"/>
            <w:shd w:val="clear" w:color="auto" w:fill="CCFF99"/>
            <w:vAlign w:val="center"/>
          </w:tcPr>
          <w:p w:rsidR="00F83094" w:rsidRDefault="00F83094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  <w:r w:rsidR="0026616F">
              <w:rPr>
                <w:rFonts w:ascii="Times New Roman" w:hAnsi="Times New Roman" w:cs="Times New Roman"/>
                <w:sz w:val="24"/>
                <w:szCs w:val="24"/>
              </w:rPr>
              <w:t xml:space="preserve"> és teljes összege</w:t>
            </w:r>
          </w:p>
        </w:tc>
        <w:tc>
          <w:tcPr>
            <w:tcW w:w="7649" w:type="dxa"/>
            <w:vAlign w:val="center"/>
          </w:tcPr>
          <w:p w:rsidR="00F83094" w:rsidRDefault="00F83094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hónap (egy tanulmányi félév)</w:t>
            </w:r>
            <w:r w:rsidR="0026616F">
              <w:rPr>
                <w:rFonts w:ascii="Times New Roman" w:hAnsi="Times New Roman" w:cs="Times New Roman"/>
                <w:sz w:val="24"/>
                <w:szCs w:val="24"/>
              </w:rPr>
              <w:t>, így teljes összege:</w:t>
            </w:r>
          </w:p>
          <w:p w:rsidR="0026616F" w:rsidRDefault="0026616F" w:rsidP="007E316A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fogyatékosság esetén: 125.000 Ft</w:t>
            </w:r>
          </w:p>
          <w:p w:rsidR="0026616F" w:rsidRPr="0026616F" w:rsidRDefault="0026616F" w:rsidP="007E316A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6F">
              <w:rPr>
                <w:rFonts w:ascii="Times New Roman" w:hAnsi="Times New Roman" w:cs="Times New Roman"/>
                <w:sz w:val="24"/>
                <w:szCs w:val="24"/>
              </w:rPr>
              <w:t>pszichés fejlődési zavar és egyéb tanulási nehézség esetén: 100.000 Ft</w:t>
            </w:r>
          </w:p>
        </w:tc>
      </w:tr>
      <w:tr w:rsidR="00F83094" w:rsidTr="00795DE5">
        <w:tc>
          <w:tcPr>
            <w:tcW w:w="1413" w:type="dxa"/>
            <w:shd w:val="clear" w:color="auto" w:fill="CCFF99"/>
            <w:vAlign w:val="center"/>
          </w:tcPr>
          <w:p w:rsidR="00F83094" w:rsidRDefault="00F83094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Benyújtási határidő</w:t>
            </w:r>
          </w:p>
        </w:tc>
        <w:tc>
          <w:tcPr>
            <w:tcW w:w="7649" w:type="dxa"/>
            <w:vAlign w:val="center"/>
          </w:tcPr>
          <w:p w:rsidR="00F83094" w:rsidRDefault="00F83094" w:rsidP="007E316A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félévben: szeptember 30.</w:t>
            </w:r>
          </w:p>
          <w:p w:rsidR="00F83094" w:rsidRPr="00F83094" w:rsidRDefault="00F83094" w:rsidP="007E316A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félévben: február 28.</w:t>
            </w:r>
          </w:p>
        </w:tc>
      </w:tr>
      <w:tr w:rsidR="00F83094" w:rsidTr="00795DE5">
        <w:tc>
          <w:tcPr>
            <w:tcW w:w="1413" w:type="dxa"/>
            <w:shd w:val="clear" w:color="auto" w:fill="CCFF99"/>
            <w:vAlign w:val="center"/>
          </w:tcPr>
          <w:p w:rsidR="00F83094" w:rsidRDefault="00795DE5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Benyújtási módja</w:t>
            </w:r>
          </w:p>
        </w:tc>
        <w:tc>
          <w:tcPr>
            <w:tcW w:w="7649" w:type="dxa"/>
            <w:vAlign w:val="center"/>
          </w:tcPr>
          <w:p w:rsidR="00F83094" w:rsidRDefault="00795DE5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Tanulmányi Rendszer, Ügyintézés/Kérvények menüpont, Fogyatékkal és tanulási zavarral élők ösztöndíj pályázata</w:t>
            </w:r>
          </w:p>
        </w:tc>
      </w:tr>
      <w:tr w:rsidR="00795DE5" w:rsidTr="00795DE5">
        <w:tc>
          <w:tcPr>
            <w:tcW w:w="1413" w:type="dxa"/>
            <w:shd w:val="clear" w:color="auto" w:fill="CCFF99"/>
            <w:vAlign w:val="center"/>
          </w:tcPr>
          <w:p w:rsidR="00795DE5" w:rsidRDefault="00795DE5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Bíráló testület</w:t>
            </w:r>
          </w:p>
        </w:tc>
        <w:tc>
          <w:tcPr>
            <w:tcW w:w="7649" w:type="dxa"/>
            <w:vAlign w:val="center"/>
          </w:tcPr>
          <w:p w:rsidR="00795DE5" w:rsidRDefault="00795DE5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Hallgatói Ösztöndíj Bizottság (HÖB)</w:t>
            </w:r>
          </w:p>
        </w:tc>
      </w:tr>
      <w:tr w:rsidR="00795DE5" w:rsidTr="00795DE5">
        <w:tc>
          <w:tcPr>
            <w:tcW w:w="1413" w:type="dxa"/>
            <w:shd w:val="clear" w:color="auto" w:fill="CCFF99"/>
            <w:vAlign w:val="center"/>
          </w:tcPr>
          <w:p w:rsidR="00795DE5" w:rsidRDefault="00795DE5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Bírálat időtartama</w:t>
            </w:r>
          </w:p>
        </w:tc>
        <w:tc>
          <w:tcPr>
            <w:tcW w:w="7649" w:type="dxa"/>
            <w:vAlign w:val="center"/>
          </w:tcPr>
          <w:p w:rsidR="00795DE5" w:rsidRDefault="00795DE5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benyújtási határidőtől számított 3 hét, melyet követően a pályázó értesítést kap az Oktatásszervezési Osztálytól a pályázat eredményéről.</w:t>
            </w:r>
          </w:p>
        </w:tc>
      </w:tr>
      <w:tr w:rsidR="00795DE5" w:rsidTr="00795DE5">
        <w:tc>
          <w:tcPr>
            <w:tcW w:w="1413" w:type="dxa"/>
            <w:shd w:val="clear" w:color="auto" w:fill="CCFF99"/>
            <w:vAlign w:val="center"/>
          </w:tcPr>
          <w:p w:rsidR="00795DE5" w:rsidRDefault="00795DE5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Ösztöndíj fizetésének módja</w:t>
            </w:r>
          </w:p>
        </w:tc>
        <w:tc>
          <w:tcPr>
            <w:tcW w:w="7649" w:type="dxa"/>
            <w:vAlign w:val="center"/>
          </w:tcPr>
          <w:p w:rsidR="00795DE5" w:rsidRDefault="00795DE5" w:rsidP="007E31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hallgató számlájára történő utalással egy összegben:</w:t>
            </w:r>
          </w:p>
          <w:p w:rsidR="00795DE5" w:rsidRDefault="00795DE5" w:rsidP="007E316A">
            <w:pPr>
              <w:pStyle w:val="Listaszerbekezds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őszi félévben: november 30-ig</w:t>
            </w:r>
          </w:p>
          <w:p w:rsidR="00795DE5" w:rsidRPr="00795DE5" w:rsidRDefault="00795DE5" w:rsidP="007E316A">
            <w:pPr>
              <w:pStyle w:val="Listaszerbekezds"/>
              <w:numPr>
                <w:ilvl w:val="0"/>
                <w:numId w:val="6"/>
              </w:numPr>
              <w:spacing w:before="60" w:after="6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tavaszi félévben: </w:t>
            </w:r>
            <w:r w:rsidR="009C639E">
              <w:rPr>
                <w:rFonts w:ascii="Times New Roman" w:hAnsi="Times New Roman" w:cs="Times New Roman"/>
                <w:sz w:val="24"/>
                <w:szCs w:val="24"/>
              </w:rPr>
              <w:t>április 30-ig</w:t>
            </w:r>
          </w:p>
        </w:tc>
      </w:tr>
    </w:tbl>
    <w:p w:rsidR="00F83094" w:rsidRPr="00642F80" w:rsidRDefault="00F83094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580" w:rsidRDefault="007E316A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 esetén az Oktatásszervezési Osztály munkatársai nyújtanak segítséget, forduljanak a tanulmányi előadójukhoz.</w:t>
      </w:r>
    </w:p>
    <w:p w:rsidR="007E316A" w:rsidRDefault="007E316A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16A" w:rsidRDefault="007E316A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Tatabánya, 2019. március 1.</w:t>
      </w:r>
    </w:p>
    <w:bookmarkEnd w:id="0"/>
    <w:p w:rsidR="007E316A" w:rsidRDefault="007E316A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16A" w:rsidRDefault="007E316A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Némethné Dr. Gál Andrea</w:t>
      </w:r>
    </w:p>
    <w:p w:rsidR="007E316A" w:rsidRPr="00642F80" w:rsidRDefault="007E316A" w:rsidP="00642F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rektor</w:t>
      </w:r>
      <w:proofErr w:type="gramEnd"/>
    </w:p>
    <w:sectPr w:rsidR="007E316A" w:rsidRPr="00642F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80" w:rsidRDefault="00642F80" w:rsidP="00642F80">
      <w:pPr>
        <w:spacing w:after="0" w:line="240" w:lineRule="auto"/>
      </w:pPr>
      <w:r>
        <w:separator/>
      </w:r>
    </w:p>
  </w:endnote>
  <w:endnote w:type="continuationSeparator" w:id="0">
    <w:p w:rsidR="00642F80" w:rsidRDefault="00642F80" w:rsidP="0064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41AC1EFB13648098F141782E5DCDC50"/>
      </w:placeholder>
      <w:temporary/>
      <w:showingPlcHdr/>
      <w15:appearance w15:val="hidden"/>
    </w:sdtPr>
    <w:sdtEndPr/>
    <w:sdtContent>
      <w:p w:rsidR="00642F80" w:rsidRDefault="00642F80">
        <w:pPr>
          <w:pStyle w:val="llb"/>
        </w:pPr>
        <w:r>
          <w:t>[Ide írhat]</w:t>
        </w:r>
      </w:p>
    </w:sdtContent>
  </w:sdt>
  <w:p w:rsidR="00642F80" w:rsidRDefault="00642F80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5D8B68B" wp14:editId="65DFAB5D">
          <wp:simplePos x="0" y="0"/>
          <wp:positionH relativeFrom="rightMargin">
            <wp:posOffset>-1495958</wp:posOffset>
          </wp:positionH>
          <wp:positionV relativeFrom="bottomMargin">
            <wp:posOffset>-634975</wp:posOffset>
          </wp:positionV>
          <wp:extent cx="2355850" cy="1627505"/>
          <wp:effectExtent l="0" t="0" r="6350" b="0"/>
          <wp:wrapTight wrapText="bothSides">
            <wp:wrapPolygon edited="0">
              <wp:start x="13624" y="1011"/>
              <wp:lineTo x="12052" y="1770"/>
              <wp:lineTo x="6812" y="4804"/>
              <wp:lineTo x="6288" y="6321"/>
              <wp:lineTo x="4192" y="9607"/>
              <wp:lineTo x="2445" y="13653"/>
              <wp:lineTo x="1747" y="17698"/>
              <wp:lineTo x="1397" y="21238"/>
              <wp:lineTo x="21484" y="21238"/>
              <wp:lineTo x="21484" y="2275"/>
              <wp:lineTo x="17990" y="1011"/>
              <wp:lineTo x="13624" y="1011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162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80" w:rsidRDefault="00642F80" w:rsidP="00642F80">
      <w:pPr>
        <w:spacing w:after="0" w:line="240" w:lineRule="auto"/>
      </w:pPr>
      <w:r>
        <w:separator/>
      </w:r>
    </w:p>
  </w:footnote>
  <w:footnote w:type="continuationSeparator" w:id="0">
    <w:p w:rsidR="00642F80" w:rsidRDefault="00642F80" w:rsidP="0064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80" w:rsidRDefault="00642F80">
    <w:pPr>
      <w:pStyle w:val="lfej"/>
    </w:pPr>
    <w:r w:rsidRPr="00253993">
      <w:rPr>
        <w:noProof/>
        <w:lang w:eastAsia="hu-HU"/>
      </w:rPr>
      <w:drawing>
        <wp:inline distT="0" distB="0" distL="0" distR="0" wp14:anchorId="439D1FBD" wp14:editId="7DD763A8">
          <wp:extent cx="1373880" cy="467741"/>
          <wp:effectExtent l="0" t="0" r="0" b="8890"/>
          <wp:docPr id="5" name="Kép 4">
            <a:extLst xmlns:a="http://schemas.openxmlformats.org/drawingml/2006/main">
              <a:ext uri="{FF2B5EF4-FFF2-40B4-BE49-F238E27FC236}">
                <a16:creationId xmlns:a16="http://schemas.microsoft.com/office/drawing/2014/main" id="{E8F32CB4-CD96-4279-BD51-1B2F7AE251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>
                    <a:extLst>
                      <a:ext uri="{FF2B5EF4-FFF2-40B4-BE49-F238E27FC236}">
                        <a16:creationId xmlns:a16="http://schemas.microsoft.com/office/drawing/2014/main" id="{E8F32CB4-CD96-4279-BD51-1B2F7AE251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338" cy="48389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400"/>
    <w:multiLevelType w:val="hybridMultilevel"/>
    <w:tmpl w:val="9ADC8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02D5"/>
    <w:multiLevelType w:val="hybridMultilevel"/>
    <w:tmpl w:val="9F04ED2A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DD246BF"/>
    <w:multiLevelType w:val="hybridMultilevel"/>
    <w:tmpl w:val="8A705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4B1B"/>
    <w:multiLevelType w:val="hybridMultilevel"/>
    <w:tmpl w:val="3F061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1C0E"/>
    <w:multiLevelType w:val="hybridMultilevel"/>
    <w:tmpl w:val="DB981880"/>
    <w:lvl w:ilvl="0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79E1D60"/>
    <w:multiLevelType w:val="hybridMultilevel"/>
    <w:tmpl w:val="77963D8E"/>
    <w:lvl w:ilvl="0" w:tplc="29DAED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2810"/>
    <w:multiLevelType w:val="hybridMultilevel"/>
    <w:tmpl w:val="36223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52A5C"/>
    <w:multiLevelType w:val="hybridMultilevel"/>
    <w:tmpl w:val="7CDEE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80"/>
    <w:rsid w:val="00154B18"/>
    <w:rsid w:val="001F3323"/>
    <w:rsid w:val="0026616F"/>
    <w:rsid w:val="00411FF9"/>
    <w:rsid w:val="005C650C"/>
    <w:rsid w:val="00642F80"/>
    <w:rsid w:val="00795DE5"/>
    <w:rsid w:val="007E316A"/>
    <w:rsid w:val="00905F6F"/>
    <w:rsid w:val="00976580"/>
    <w:rsid w:val="009C639E"/>
    <w:rsid w:val="00A22E63"/>
    <w:rsid w:val="00AB7B57"/>
    <w:rsid w:val="00D71271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1F53-5393-463C-B242-06FBCF02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F80"/>
  </w:style>
  <w:style w:type="paragraph" w:styleId="llb">
    <w:name w:val="footer"/>
    <w:basedOn w:val="Norml"/>
    <w:link w:val="llbChar"/>
    <w:uiPriority w:val="99"/>
    <w:unhideWhenUsed/>
    <w:rsid w:val="0064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F80"/>
  </w:style>
  <w:style w:type="paragraph" w:styleId="Listaszerbekezds">
    <w:name w:val="List Paragraph"/>
    <w:basedOn w:val="Norml"/>
    <w:uiPriority w:val="34"/>
    <w:qFormat/>
    <w:rsid w:val="00905F6F"/>
    <w:pPr>
      <w:ind w:left="720"/>
      <w:contextualSpacing/>
    </w:pPr>
  </w:style>
  <w:style w:type="table" w:styleId="Rcsostblzat">
    <w:name w:val="Table Grid"/>
    <w:basedOn w:val="Normltblzat"/>
    <w:uiPriority w:val="39"/>
    <w:rsid w:val="00F8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AC1EFB13648098F141782E5DCDC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B616A3-12D0-42B0-89A8-12DC575B7737}"/>
      </w:docPartPr>
      <w:docPartBody>
        <w:p w:rsidR="00185D61" w:rsidRDefault="00FD7505" w:rsidP="00FD7505">
          <w:pPr>
            <w:pStyle w:val="441AC1EFB13648098F141782E5DCDC50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05"/>
    <w:rsid w:val="00185D61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41AC1EFB13648098F141782E5DCDC50">
    <w:name w:val="441AC1EFB13648098F141782E5DCDC50"/>
    <w:rsid w:val="00FD7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Gál Andrea</dc:creator>
  <cp:keywords/>
  <dc:description/>
  <cp:lastModifiedBy>Némethné Gál Andrea</cp:lastModifiedBy>
  <cp:revision>3</cp:revision>
  <dcterms:created xsi:type="dcterms:W3CDTF">2019-03-28T14:48:00Z</dcterms:created>
  <dcterms:modified xsi:type="dcterms:W3CDTF">2021-01-30T14:01:00Z</dcterms:modified>
</cp:coreProperties>
</file>